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371DFAE5" w:rsidP="371DFAE5" w:rsidRDefault="371DFAE5" w14:paraId="297A4CD0" w14:textId="27AEFF6F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Segoe UI" w:hAnsi="Segoe UI" w:eastAsia="Segoe UI" w:cs="Segoe UI"/>
          <w:color w:val="000000" w:themeColor="text1"/>
          <w:sz w:val="44"/>
          <w:szCs w:val="44"/>
        </w:rPr>
      </w:pPr>
    </w:p>
    <w:p w:rsidR="2D530F92" w:rsidP="371DFAE5" w:rsidRDefault="2D530F92" w14:paraId="0865B551" w14:textId="576A2E0E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Segoe UI" w:hAnsi="Segoe UI" w:eastAsia="Segoe UI" w:cs="Segoe UI"/>
          <w:color w:val="000000" w:themeColor="text1"/>
          <w:sz w:val="56"/>
          <w:szCs w:val="56"/>
        </w:rPr>
      </w:pPr>
      <w:r w:rsidRPr="4E4ECF48">
        <w:rPr>
          <w:rFonts w:ascii="Segoe UI" w:hAnsi="Segoe UI" w:eastAsia="Segoe UI" w:cs="Segoe UI"/>
          <w:b/>
          <w:bCs/>
          <w:color w:val="000000" w:themeColor="text1"/>
          <w:sz w:val="56"/>
          <w:szCs w:val="56"/>
        </w:rPr>
        <w:t>MANSTON PRIMARY SCHOOL</w:t>
      </w:r>
    </w:p>
    <w:p w:rsidR="371DFAE5" w:rsidP="4E4ECF48" w:rsidRDefault="74C28F6B" w14:paraId="499DF3A7" w14:textId="01AD49DD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</w:pPr>
      <w:r>
        <w:rPr>
          <w:noProof/>
        </w:rPr>
        <w:drawing>
          <wp:inline distT="0" distB="0" distL="0" distR="0" wp14:anchorId="31EBED03" wp14:editId="3160D1E2">
            <wp:extent cx="5067300" cy="1387075"/>
            <wp:effectExtent l="0" t="0" r="0" b="0"/>
            <wp:docPr id="798730245" name="Picture 798730245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B601322A-4A9C-4E37-929A-DF17378351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1DFAE5" w:rsidP="4E4ECF48" w:rsidRDefault="371DFAE5" w14:paraId="7B7025E9" w14:textId="2AA4F4AF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</w:pPr>
    </w:p>
    <w:p w:rsidR="2D530F92" w:rsidP="4E4ECF48" w:rsidRDefault="2D530F92" w14:paraId="131A68E6" w14:textId="2A2DECA5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</w:pPr>
      <w:r>
        <w:br/>
      </w:r>
    </w:p>
    <w:p w:rsidR="371DFAE5" w:rsidP="371DFAE5" w:rsidRDefault="371DFAE5" w14:paraId="3D8B7FE2" w14:textId="0AC1CEC1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Comic Sans MS" w:hAnsi="Comic Sans MS" w:eastAsia="Comic Sans MS" w:cs="Comic Sans MS"/>
          <w:color w:val="000000" w:themeColor="text1"/>
          <w:sz w:val="52"/>
          <w:szCs w:val="52"/>
        </w:rPr>
      </w:pPr>
    </w:p>
    <w:p w:rsidR="2D530F92" w:rsidP="4E4ECF48" w:rsidRDefault="2D530F92" w14:paraId="5F1C9BA7" w14:textId="2C0E2E11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Segoe UI" w:hAnsi="Segoe UI" w:eastAsia="Segoe UI" w:cs="Segoe UI"/>
          <w:color w:val="000000" w:themeColor="text1"/>
          <w:sz w:val="52"/>
          <w:szCs w:val="52"/>
        </w:rPr>
      </w:pPr>
      <w:r w:rsidRPr="4E4ECF48">
        <w:rPr>
          <w:rFonts w:ascii="Segoe UI" w:hAnsi="Segoe UI" w:eastAsia="Segoe UI" w:cs="Segoe UI"/>
          <w:color w:val="000000" w:themeColor="text1"/>
          <w:sz w:val="52"/>
          <w:szCs w:val="52"/>
        </w:rPr>
        <w:t>SCHOOL COMMUNICATION POLICY</w:t>
      </w:r>
    </w:p>
    <w:p w:rsidR="2D530F92" w:rsidP="371DFAE5" w:rsidRDefault="2D530F92" w14:paraId="2716643D" w14:textId="4FDB417B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Pr="371DFAE5">
        <w:rPr>
          <w:rFonts w:ascii="Arial" w:hAnsi="Arial" w:eastAsia="Arial" w:cs="Arial"/>
          <w:color w:val="000000" w:themeColor="text1"/>
          <w:sz w:val="22"/>
          <w:szCs w:val="22"/>
        </w:rPr>
        <w:t>Manston Primary School is committed to safeguarding and promoting the well-being of all children and expects our staff and volunteers to share this commitment.</w:t>
      </w:r>
      <w:r w:rsidRPr="371DFAE5">
        <w:rPr>
          <w:rFonts w:ascii="Arial" w:hAnsi="Arial" w:eastAsia="Arial" w:cs="Arial"/>
          <w:color w:val="000000" w:themeColor="text1"/>
          <w:sz w:val="32"/>
          <w:szCs w:val="32"/>
        </w:rPr>
        <w:t xml:space="preserve">      </w:t>
      </w:r>
    </w:p>
    <w:p w:rsidR="2D530F92" w:rsidP="4E4ECF48" w:rsidRDefault="2D530F92" w14:paraId="471711D8" w14:textId="0B4E1E1B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Pr="4E4ECF48">
        <w:rPr>
          <w:rFonts w:ascii="Arial" w:hAnsi="Arial" w:eastAsia="Arial" w:cs="Arial"/>
          <w:color w:val="000000" w:themeColor="text1"/>
          <w:sz w:val="32"/>
          <w:szCs w:val="32"/>
        </w:rPr>
        <w:t xml:space="preserve">Policy reviewed by: </w:t>
      </w:r>
      <w:r w:rsidRPr="4E4ECF48" w:rsidR="2A2C765D">
        <w:rPr>
          <w:rFonts w:ascii="Arial" w:hAnsi="Arial" w:eastAsia="Arial" w:cs="Arial"/>
          <w:color w:val="000000" w:themeColor="text1"/>
          <w:sz w:val="32"/>
          <w:szCs w:val="32"/>
        </w:rPr>
        <w:t>Headteacher</w:t>
      </w:r>
    </w:p>
    <w:p w:rsidR="2D530F92" w:rsidP="2CBC17CF" w:rsidRDefault="2D530F92" w14:paraId="583B83AB" w14:textId="52BFC213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 w:themeTint="FF" w:themeShade="FF"/>
          <w:sz w:val="32"/>
          <w:szCs w:val="32"/>
        </w:rPr>
      </w:pPr>
      <w:r w:rsidRPr="2CBC17CF" w:rsidR="2D530F92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>Ratified by Governors – June 2025</w:t>
      </w:r>
      <w:r w:rsidRPr="2CBC17CF" w:rsidR="66893023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 xml:space="preserve"> </w:t>
      </w:r>
    </w:p>
    <w:p w:rsidR="2D530F92" w:rsidP="2CBC17CF" w:rsidRDefault="2D530F92" w14:paraId="7AC3CA7E" w14:textId="034DD7C7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Pr="2CBC17CF" w:rsidR="2D530F92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>Review Date: September 2027</w:t>
      </w:r>
    </w:p>
    <w:p w:rsidR="2D530F92" w:rsidP="371DFAE5" w:rsidRDefault="2D530F92" w14:paraId="1376B97D" w14:textId="77339B6F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4B553BA" wp14:editId="5C6C8070">
            <wp:extent cx="552450" cy="647700"/>
            <wp:effectExtent l="0" t="0" r="0" b="0"/>
            <wp:docPr id="1122063878" name="Picture 1122063878" descr="CFL thumb logo signature, Picture">
              <a:extLst xmlns:a="http://schemas.openxmlformats.org/drawingml/2006/main">
                <a:ext uri="{FF2B5EF4-FFF2-40B4-BE49-F238E27FC236}">
                  <a16:creationId xmlns:a16="http://schemas.microsoft.com/office/drawing/2014/main" id="{5BC674C8-5F6A-4D53-B685-6AA1B3F9B5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E5" w:rsidP="371DFAE5" w:rsidRDefault="00393AE5" w14:paraId="4B69201C" w14:textId="77777777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="00393AE5" w:rsidP="371DFAE5" w:rsidRDefault="00393AE5" w14:paraId="2B2DB562" w14:textId="77777777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="00393AE5" w:rsidP="371DFAE5" w:rsidRDefault="00393AE5" w14:paraId="286B678D" w14:textId="77777777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="371DFAE5" w:rsidP="371DFAE5" w:rsidRDefault="371DFAE5" w14:paraId="4415A44F" w14:textId="29222A6D">
      <w:pPr>
        <w:pBdr>
          <w:top w:val="thinThickThinMediumGap" w:color="0070C0" w:sz="24" w:space="1"/>
          <w:left w:val="thinThickThinMediumGap" w:color="0070C0" w:sz="24" w:space="4"/>
          <w:bottom w:val="thinThickThinMediumGap" w:color="0070C0" w:sz="24" w:space="1"/>
          <w:right w:val="thinThickThinMediumGap" w:color="0070C0" w:sz="24" w:space="4"/>
        </w:pBd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Pr="00393AE5" w:rsidR="000168F0" w:rsidP="00393AE5" w:rsidRDefault="6A5F6D8E" w14:paraId="39C67726" w14:textId="237F5768">
      <w:pPr>
        <w:pStyle w:val="Heading1"/>
      </w:pPr>
      <w:r>
        <w:lastRenderedPageBreak/>
        <w:t>School Communication Policy</w:t>
      </w:r>
    </w:p>
    <w:p w:rsidR="1A01CEDC" w:rsidP="2CE517D3" w:rsidRDefault="1A01CEDC" w14:paraId="30EC06B0" w14:textId="2263F299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1. Introduction and Aims</w:t>
      </w:r>
    </w:p>
    <w:p w:rsidR="1A01CEDC" w:rsidP="2CE517D3" w:rsidRDefault="1A01CEDC" w14:paraId="3EFD589B" w14:textId="185433DD">
      <w:pPr>
        <w:spacing w:before="240" w:after="240"/>
      </w:pPr>
      <w:r w:rsidRPr="2CE517D3">
        <w:rPr>
          <w:rFonts w:ascii="Aptos" w:hAnsi="Aptos" w:eastAsia="Aptos" w:cs="Aptos"/>
        </w:rPr>
        <w:t>At Manston Primary, we believe strong, clear, and respectful communication between school and home underpins every child’s success. This policy aims to:</w:t>
      </w:r>
    </w:p>
    <w:p w:rsidR="1A01CEDC" w:rsidP="2CE517D3" w:rsidRDefault="1A01CEDC" w14:paraId="188BC6A5" w14:textId="075D297B">
      <w:pPr>
        <w:pStyle w:val="ListParagraph"/>
        <w:numPr>
          <w:ilvl w:val="0"/>
          <w:numId w:val="1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Keep parents/carers well-informed about school matters and their child’s education</w:t>
      </w:r>
    </w:p>
    <w:p w:rsidR="1A01CEDC" w:rsidP="2CE517D3" w:rsidRDefault="1A01CEDC" w14:paraId="017ADD08" w14:textId="15141E97">
      <w:pPr>
        <w:pStyle w:val="ListParagraph"/>
        <w:numPr>
          <w:ilvl w:val="0"/>
          <w:numId w:val="1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Set out clear expectations for how we communicate and respond to communication</w:t>
      </w:r>
    </w:p>
    <w:p w:rsidR="1A01CEDC" w:rsidP="2CE517D3" w:rsidRDefault="1A01CEDC" w14:paraId="19E8A2D0" w14:textId="59BC6CDE">
      <w:pPr>
        <w:pStyle w:val="ListParagraph"/>
        <w:numPr>
          <w:ilvl w:val="0"/>
          <w:numId w:val="1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Promote a safe and respectful environment for all interactions</w:t>
      </w:r>
    </w:p>
    <w:p w:rsidR="1A01CEDC" w:rsidP="2CE517D3" w:rsidRDefault="1A01CEDC" w14:paraId="109AEC5D" w14:textId="78D00D43">
      <w:pPr>
        <w:pStyle w:val="ListParagraph"/>
        <w:numPr>
          <w:ilvl w:val="0"/>
          <w:numId w:val="1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Ensure clarity around communication rights and responsibilities, including those backed by legal protections</w:t>
      </w:r>
    </w:p>
    <w:p w:rsidR="1A01CEDC" w:rsidP="2CE517D3" w:rsidRDefault="1A01CEDC" w14:paraId="68078E38" w14:textId="22FC595E">
      <w:pPr>
        <w:spacing w:before="240" w:after="240"/>
      </w:pPr>
      <w:r w:rsidRPr="2CE517D3">
        <w:rPr>
          <w:rFonts w:ascii="Aptos" w:hAnsi="Aptos" w:eastAsia="Aptos" w:cs="Aptos"/>
        </w:rPr>
        <w:t>This policy is aligned with our Home School Agreement and should be read in conjunction with key safeguarding and complaints procedures.</w:t>
      </w:r>
    </w:p>
    <w:p w:rsidR="1A01CEDC" w:rsidP="2CE517D3" w:rsidRDefault="1A01CEDC" w14:paraId="0CD3F770" w14:textId="54B117E2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2. Legal Framework</w:t>
      </w:r>
    </w:p>
    <w:p w:rsidR="1A01CEDC" w:rsidP="2CE517D3" w:rsidRDefault="1A01CEDC" w14:paraId="3D3126CC" w14:textId="694DC583">
      <w:pPr>
        <w:spacing w:before="240" w:after="240"/>
      </w:pPr>
      <w:r w:rsidRPr="2CE517D3">
        <w:rPr>
          <w:rFonts w:ascii="Aptos" w:hAnsi="Aptos" w:eastAsia="Aptos" w:cs="Aptos"/>
        </w:rPr>
        <w:t>In line with national statutory guidance, this policy reflects:</w:t>
      </w:r>
    </w:p>
    <w:p w:rsidR="1A01CEDC" w:rsidP="2CE517D3" w:rsidRDefault="1A01CEDC" w14:paraId="46165EB0" w14:textId="29AFC48E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Education Act 2011 &amp; 1996</w:t>
      </w:r>
    </w:p>
    <w:p w:rsidR="1A01CEDC" w:rsidP="2CE517D3" w:rsidRDefault="1A01CEDC" w14:paraId="0F13324B" w14:textId="21F185D8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Children Act 2004</w:t>
      </w:r>
    </w:p>
    <w:p w:rsidR="1A01CEDC" w:rsidP="2CE517D3" w:rsidRDefault="1A01CEDC" w14:paraId="0B729618" w14:textId="0B44B216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Equality Act 2010</w:t>
      </w:r>
    </w:p>
    <w:p w:rsidR="1A01CEDC" w:rsidP="2CE517D3" w:rsidRDefault="1A01CEDC" w14:paraId="2A3BADC4" w14:textId="4972BFE3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Defamation Act 2013</w:t>
      </w:r>
    </w:p>
    <w:p w:rsidR="1A01CEDC" w:rsidP="2CE517D3" w:rsidRDefault="1A01CEDC" w14:paraId="333E2016" w14:textId="7CAEE460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Malicious Communications Act 1988</w:t>
      </w:r>
    </w:p>
    <w:p w:rsidR="1A01CEDC" w:rsidP="2CE517D3" w:rsidRDefault="1A01CEDC" w14:paraId="1574EF2C" w14:textId="0C314F79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Protection from Harassment Act 1997</w:t>
      </w:r>
    </w:p>
    <w:p w:rsidR="1A01CEDC" w:rsidP="2CE517D3" w:rsidRDefault="1A01CEDC" w14:paraId="0DAE37B6" w14:textId="0B2AF1A8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Data Protection Act 2018 (GDPR)</w:t>
      </w:r>
    </w:p>
    <w:p w:rsidR="1A01CEDC" w:rsidP="2CE517D3" w:rsidRDefault="1A01CEDC" w14:paraId="1B79E13B" w14:textId="09ED00D0">
      <w:pPr>
        <w:pStyle w:val="ListParagraph"/>
        <w:numPr>
          <w:ilvl w:val="0"/>
          <w:numId w:val="12"/>
        </w:numPr>
        <w:spacing w:before="240" w:after="240"/>
        <w:rPr>
          <w:rFonts w:ascii="Aptos" w:hAnsi="Aptos" w:eastAsia="Aptos" w:cs="Aptos"/>
          <w:b/>
          <w:bCs/>
        </w:rPr>
      </w:pPr>
      <w:r w:rsidRPr="2CE517D3">
        <w:rPr>
          <w:rFonts w:ascii="Aptos" w:hAnsi="Aptos" w:eastAsia="Aptos" w:cs="Aptos"/>
          <w:b/>
          <w:bCs/>
        </w:rPr>
        <w:t>Human Rights Act 1998</w:t>
      </w:r>
    </w:p>
    <w:p w:rsidR="1A01CEDC" w:rsidP="2CE517D3" w:rsidRDefault="1A01CEDC" w14:paraId="55DDCFC0" w14:textId="0937BCD6">
      <w:pPr>
        <w:spacing w:before="240" w:after="240"/>
      </w:pPr>
      <w:r w:rsidRPr="2CE517D3">
        <w:rPr>
          <w:rFonts w:ascii="Aptos" w:hAnsi="Aptos" w:eastAsia="Aptos" w:cs="Aptos"/>
        </w:rPr>
        <w:t>Breaches of respectful communication, including threats, defamation, or harassment, may lead to legal action, police involvement, or withdrawal of school access in accordance with these frameworks.</w:t>
      </w:r>
    </w:p>
    <w:p w:rsidR="2CE517D3" w:rsidP="2CE517D3" w:rsidRDefault="2CE517D3" w14:paraId="1C4D97C0" w14:textId="057E3120">
      <w:pPr>
        <w:spacing w:after="0"/>
      </w:pPr>
    </w:p>
    <w:p w:rsidR="2CE517D3" w:rsidP="2CE517D3" w:rsidRDefault="2CE517D3" w14:paraId="051B2ABD" w14:textId="10582336"/>
    <w:p w:rsidR="5B80A49F" w:rsidP="2CE517D3" w:rsidRDefault="5B80A49F" w14:paraId="4708EAC7" w14:textId="78F64E55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3. Roles and Responsibilities</w:t>
      </w:r>
    </w:p>
    <w:p w:rsidR="5B80A49F" w:rsidP="2CE517D3" w:rsidRDefault="5B80A49F" w14:paraId="1E92B4D9" w14:textId="0E1E3CC3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t>3.1 Headteacher</w:t>
      </w:r>
    </w:p>
    <w:p w:rsidR="5B80A49F" w:rsidP="2CE517D3" w:rsidRDefault="5B80A49F" w14:paraId="2B716314" w14:textId="1E221E98">
      <w:pPr>
        <w:pStyle w:val="ListParagraph"/>
        <w:numPr>
          <w:ilvl w:val="0"/>
          <w:numId w:val="1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lastRenderedPageBreak/>
        <w:t>Ensure communications are effective, timely, and appropriate</w:t>
      </w:r>
    </w:p>
    <w:p w:rsidR="5B80A49F" w:rsidP="2CE517D3" w:rsidRDefault="5B80A49F" w14:paraId="3A3F190D" w14:textId="5A4892C4">
      <w:pPr>
        <w:pStyle w:val="ListParagraph"/>
        <w:numPr>
          <w:ilvl w:val="0"/>
          <w:numId w:val="1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Uphold and implement this policy</w:t>
      </w:r>
    </w:p>
    <w:p w:rsidR="5B80A49F" w:rsidP="2CE517D3" w:rsidRDefault="5B80A49F" w14:paraId="0F9D4162" w14:textId="1E40D93C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t>3.2 Staff</w:t>
      </w:r>
    </w:p>
    <w:p w:rsidR="5B80A49F" w:rsidP="2CE517D3" w:rsidRDefault="5B80A49F" w14:paraId="604FB428" w14:textId="2C7CD278">
      <w:pPr>
        <w:pStyle w:val="ListParagraph"/>
        <w:numPr>
          <w:ilvl w:val="0"/>
          <w:numId w:val="10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Acknowledge parental communication within 3 working days</w:t>
      </w:r>
    </w:p>
    <w:p w:rsidR="5B80A49F" w:rsidP="2CE517D3" w:rsidRDefault="5B80A49F" w14:paraId="23468E08" w14:textId="423FD4C7">
      <w:pPr>
        <w:pStyle w:val="ListParagraph"/>
        <w:numPr>
          <w:ilvl w:val="0"/>
          <w:numId w:val="10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 xml:space="preserve">Set </w:t>
      </w:r>
      <w:proofErr w:type="gramStart"/>
      <w:r w:rsidRPr="2CE517D3">
        <w:rPr>
          <w:rFonts w:ascii="Aptos" w:hAnsi="Aptos" w:eastAsia="Aptos" w:cs="Aptos"/>
        </w:rPr>
        <w:t>auto-replies</w:t>
      </w:r>
      <w:proofErr w:type="gramEnd"/>
      <w:r w:rsidRPr="2CE517D3">
        <w:rPr>
          <w:rFonts w:ascii="Aptos" w:hAnsi="Aptos" w:eastAsia="Aptos" w:cs="Aptos"/>
        </w:rPr>
        <w:t xml:space="preserve"> when unavailable</w:t>
      </w:r>
    </w:p>
    <w:p w:rsidR="5B80A49F" w:rsidP="2CE517D3" w:rsidRDefault="5B80A49F" w14:paraId="3348EAFC" w14:textId="43FC5BE6">
      <w:pPr>
        <w:pStyle w:val="ListParagraph"/>
        <w:numPr>
          <w:ilvl w:val="0"/>
          <w:numId w:val="10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Respond during contracted hours only</w:t>
      </w:r>
    </w:p>
    <w:p w:rsidR="5B80A49F" w:rsidP="2CE517D3" w:rsidRDefault="5B80A49F" w14:paraId="5062A1B3" w14:textId="7BADBEBC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t>3.3 Parents/Carers</w:t>
      </w:r>
    </w:p>
    <w:p w:rsidR="5B80A49F" w:rsidP="2CE517D3" w:rsidRDefault="5B80A49F" w14:paraId="3343FEF5" w14:textId="0269D823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Communicate respectfully and constructively</w:t>
      </w:r>
    </w:p>
    <w:p w:rsidR="5B80A49F" w:rsidP="2CE517D3" w:rsidRDefault="5B80A49F" w14:paraId="41F06464" w14:textId="534F4D88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Avoid contacting staff outside working hours</w:t>
      </w:r>
    </w:p>
    <w:p w:rsidR="5B80A49F" w:rsidP="2CE517D3" w:rsidRDefault="5B80A49F" w14:paraId="5F409E87" w14:textId="5F882F5A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Use Arbor, newsletters, and school emails as main information sources</w:t>
      </w:r>
    </w:p>
    <w:p w:rsidR="5B80A49F" w:rsidP="2CE517D3" w:rsidRDefault="5B80A49F" w14:paraId="12FEBF14" w14:textId="61C319FC">
      <w:pPr>
        <w:pStyle w:val="ListParagraph"/>
        <w:numPr>
          <w:ilvl w:val="0"/>
          <w:numId w:val="9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Adhere to the Home School Agreement</w:t>
      </w:r>
    </w:p>
    <w:p w:rsidR="5B80A49F" w:rsidP="2CE517D3" w:rsidRDefault="5B80A49F" w14:paraId="0A23630D" w14:textId="2B56929E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4. How We Communicate with Parents</w:t>
      </w:r>
    </w:p>
    <w:p w:rsidR="5B80A49F" w:rsidP="2CE517D3" w:rsidRDefault="5B80A49F" w14:paraId="2CF1EB00" w14:textId="0C951B97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Email</w:t>
      </w:r>
      <w:r w:rsidRPr="2CE517D3">
        <w:rPr>
          <w:rFonts w:ascii="Aptos" w:hAnsi="Aptos" w:eastAsia="Aptos" w:cs="Aptos"/>
        </w:rPr>
        <w:t>: For class information, reports, attendance, and general updates</w:t>
      </w:r>
    </w:p>
    <w:p w:rsidR="5B80A49F" w:rsidP="2CE517D3" w:rsidRDefault="5B80A49F" w14:paraId="540A8B9C" w14:textId="06B00A23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Arbor App &amp; Texts</w:t>
      </w:r>
      <w:r w:rsidRPr="2CE517D3">
        <w:rPr>
          <w:rFonts w:ascii="Aptos" w:hAnsi="Aptos" w:eastAsia="Aptos" w:cs="Aptos"/>
        </w:rPr>
        <w:t>: For notifications, emergency updates, and reminders</w:t>
      </w:r>
    </w:p>
    <w:p w:rsidR="5B80A49F" w:rsidP="2CE517D3" w:rsidRDefault="5B80A49F" w14:paraId="7E380516" w14:textId="1BAD6AC3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Weekly Newsletters via Sway</w:t>
      </w:r>
      <w:r w:rsidRPr="2CE517D3">
        <w:rPr>
          <w:rFonts w:ascii="Aptos" w:hAnsi="Aptos" w:eastAsia="Aptos" w:cs="Aptos"/>
        </w:rPr>
        <w:t>: Key events, learning highlights, and notices</w:t>
      </w:r>
    </w:p>
    <w:p w:rsidR="5B80A49F" w:rsidP="2CE517D3" w:rsidRDefault="5B80A49F" w14:paraId="77EF370F" w14:textId="12F821A3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Phone</w:t>
      </w:r>
      <w:r w:rsidRPr="2CE517D3">
        <w:rPr>
          <w:rFonts w:ascii="Aptos" w:hAnsi="Aptos" w:eastAsia="Aptos" w:cs="Aptos"/>
        </w:rPr>
        <w:t>: For urgent issues only; call-backs within 2 school days</w:t>
      </w:r>
    </w:p>
    <w:p w:rsidR="5B80A49F" w:rsidP="2CE517D3" w:rsidRDefault="5B80A49F" w14:paraId="7568A998" w14:textId="4C3781C1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Website</w:t>
      </w:r>
      <w:r w:rsidRPr="2CE517D3">
        <w:rPr>
          <w:rFonts w:ascii="Aptos" w:hAnsi="Aptos" w:eastAsia="Aptos" w:cs="Aptos"/>
        </w:rPr>
        <w:t>: Policies, calendar, contacts, and translated materials</w:t>
      </w:r>
    </w:p>
    <w:p w:rsidR="5B80A49F" w:rsidP="2CE517D3" w:rsidRDefault="5B80A49F" w14:paraId="7A09153E" w14:textId="3D92851A">
      <w:pPr>
        <w:pStyle w:val="ListParagraph"/>
        <w:numPr>
          <w:ilvl w:val="0"/>
          <w:numId w:val="8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  <w:b/>
          <w:bCs/>
        </w:rPr>
        <w:t>Meetings</w:t>
      </w:r>
      <w:r w:rsidRPr="2CE517D3">
        <w:rPr>
          <w:rFonts w:ascii="Aptos" w:hAnsi="Aptos" w:eastAsia="Aptos" w:cs="Aptos"/>
        </w:rPr>
        <w:t>: 3 per year plus ad hoc by arrangement</w:t>
      </w:r>
    </w:p>
    <w:p w:rsidR="2CE517D3" w:rsidP="2CE517D3" w:rsidRDefault="2CE517D3" w14:paraId="186C204C" w14:textId="0AB8D2E8">
      <w:pPr>
        <w:spacing w:after="0"/>
      </w:pPr>
    </w:p>
    <w:p w:rsidR="5B80A49F" w:rsidP="2CE517D3" w:rsidRDefault="5B80A49F" w14:paraId="449B5A28" w14:textId="6FE99F7E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5. Accessibility and Inclusion</w:t>
      </w:r>
    </w:p>
    <w:p w:rsidR="5B80A49F" w:rsidP="2CE517D3" w:rsidRDefault="5B80A49F" w14:paraId="75F0AB1E" w14:textId="50F4DC21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Translations provided on request (subject to accuracy limitations)</w:t>
      </w:r>
    </w:p>
    <w:p w:rsidR="5B80A49F" w:rsidP="2CE517D3" w:rsidRDefault="5B80A49F" w14:paraId="7E9740C8" w14:textId="376A699E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Interpreters available for key meetings, including SEND reviews</w:t>
      </w:r>
    </w:p>
    <w:p w:rsidR="5B80A49F" w:rsidP="2CE517D3" w:rsidRDefault="5B80A49F" w14:paraId="4DCEC0F8" w14:textId="61F29EDC">
      <w:pPr>
        <w:pStyle w:val="ListParagraph"/>
        <w:numPr>
          <w:ilvl w:val="0"/>
          <w:numId w:val="7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Website and newsletters designed for accessibility and mobile compatibility</w:t>
      </w:r>
    </w:p>
    <w:p w:rsidR="2CE517D3" w:rsidP="2CE517D3" w:rsidRDefault="2CE517D3" w14:paraId="682BA480" w14:textId="49CA3F80">
      <w:pPr>
        <w:spacing w:after="0"/>
      </w:pPr>
    </w:p>
    <w:p w:rsidR="5B80A49F" w:rsidP="2CE517D3" w:rsidRDefault="5B80A49F" w14:paraId="72FAC97B" w14:textId="61754356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6. Managing Inappropriate Behaviour and Communication</w:t>
      </w:r>
    </w:p>
    <w:p w:rsidR="5B80A49F" w:rsidP="2CE517D3" w:rsidRDefault="5B80A49F" w14:paraId="615884AF" w14:textId="578D489F">
      <w:pPr>
        <w:spacing w:before="240" w:after="240"/>
      </w:pPr>
      <w:r w:rsidRPr="2CE517D3">
        <w:rPr>
          <w:rFonts w:ascii="Aptos" w:hAnsi="Aptos" w:eastAsia="Aptos" w:cs="Aptos"/>
        </w:rPr>
        <w:t>We define inappropriate behaviour as:</w:t>
      </w:r>
    </w:p>
    <w:p w:rsidR="5B80A49F" w:rsidP="2CE517D3" w:rsidRDefault="5B80A49F" w14:paraId="45F33FBC" w14:textId="09EEECF9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Verbal abuse, threats, or defamatory statements</w:t>
      </w:r>
    </w:p>
    <w:p w:rsidR="5B80A49F" w:rsidP="2CE517D3" w:rsidRDefault="5B80A49F" w14:paraId="7B2D9CB6" w14:textId="066B331F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Aggressive tone or intimidation (including social media)</w:t>
      </w:r>
    </w:p>
    <w:p w:rsidR="5B80A49F" w:rsidP="2CE517D3" w:rsidRDefault="5B80A49F" w14:paraId="196AB63B" w14:textId="3B976156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Excessive or repetitive contact causing disruption</w:t>
      </w:r>
    </w:p>
    <w:p w:rsidR="5B80A49F" w:rsidP="2CE517D3" w:rsidRDefault="5B80A49F" w14:paraId="487D0372" w14:textId="74B7AF6C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lastRenderedPageBreak/>
        <w:t>Consequences may include:</w:t>
      </w:r>
    </w:p>
    <w:p w:rsidR="5B80A49F" w:rsidP="2CE517D3" w:rsidRDefault="5B80A49F" w14:paraId="6BB3E52F" w14:textId="56257EC9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Written warnings or communication plans</w:t>
      </w:r>
    </w:p>
    <w:p w:rsidR="5B80A49F" w:rsidP="2CE517D3" w:rsidRDefault="5B80A49F" w14:paraId="251B781D" w14:textId="45E62F98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Refusal to respond to inappropriate messages</w:t>
      </w:r>
    </w:p>
    <w:p w:rsidR="5B80A49F" w:rsidP="2CE517D3" w:rsidRDefault="5B80A49F" w14:paraId="3BA526AD" w14:textId="3DEB672E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Ban from site under Education Act 1996 Section 547</w:t>
      </w:r>
    </w:p>
    <w:p w:rsidR="5B80A49F" w:rsidP="2CE517D3" w:rsidRDefault="5B80A49F" w14:paraId="0D45DDEB" w14:textId="3BE53B02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Referral to police or legal services</w:t>
      </w:r>
    </w:p>
    <w:p w:rsidR="5B80A49F" w:rsidP="2CE517D3" w:rsidRDefault="5B80A49F" w14:paraId="52C672A4" w14:textId="2ADD0364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t>Support Persons:</w:t>
      </w:r>
      <w:r w:rsidRPr="2CE517D3">
        <w:rPr>
          <w:rFonts w:ascii="Aptos" w:hAnsi="Aptos" w:eastAsia="Aptos" w:cs="Aptos"/>
        </w:rPr>
        <w:t xml:space="preserve"> Parents may bring a support person to meetings for emotional support only. They may not speak on behalf of the parent.</w:t>
      </w:r>
    </w:p>
    <w:p w:rsidR="5B80A49F" w:rsidP="2CE517D3" w:rsidRDefault="5B80A49F" w14:paraId="284D27F8" w14:textId="4F255197">
      <w:pPr>
        <w:spacing w:before="240" w:after="240"/>
      </w:pPr>
      <w:r w:rsidRPr="2CE517D3">
        <w:rPr>
          <w:rFonts w:ascii="Aptos" w:hAnsi="Aptos" w:eastAsia="Aptos" w:cs="Aptos"/>
          <w:b/>
          <w:bCs/>
        </w:rPr>
        <w:t>Recording:</w:t>
      </w:r>
      <w:r w:rsidRPr="2CE517D3">
        <w:rPr>
          <w:rFonts w:ascii="Aptos" w:hAnsi="Aptos" w:eastAsia="Aptos" w:cs="Aptos"/>
        </w:rPr>
        <w:t xml:space="preserve"> Staff do not consent to being recorded. Unauthorised recordings may result in meetings being terminated.</w:t>
      </w:r>
    </w:p>
    <w:p w:rsidR="1369B1EC" w:rsidP="2CE517D3" w:rsidRDefault="1369B1EC" w14:paraId="2E0A7801" w14:textId="17BED3E6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7. Excessive or Repetitive Contact</w:t>
      </w:r>
    </w:p>
    <w:p w:rsidR="1369B1EC" w:rsidP="2CE517D3" w:rsidRDefault="1369B1EC" w14:paraId="1E84B844" w14:textId="5104CF19">
      <w:pPr>
        <w:spacing w:before="240" w:after="240"/>
      </w:pPr>
      <w:r w:rsidRPr="2CE517D3">
        <w:rPr>
          <w:rFonts w:ascii="Aptos" w:hAnsi="Aptos" w:eastAsia="Aptos" w:cs="Aptos"/>
        </w:rPr>
        <w:t>Where contact becomes persistent, repetitive, or undermines staff capacity:</w:t>
      </w:r>
    </w:p>
    <w:p w:rsidR="1369B1EC" w:rsidP="2CE517D3" w:rsidRDefault="1369B1EC" w14:paraId="6B0E4E99" w14:textId="7E67EB1E">
      <w:pPr>
        <w:pStyle w:val="ListParagraph"/>
        <w:numPr>
          <w:ilvl w:val="0"/>
          <w:numId w:val="4"/>
        </w:numPr>
        <w:spacing w:before="240" w:after="240"/>
        <w:rPr>
          <w:rFonts w:ascii="Aptos" w:hAnsi="Aptos" w:eastAsia="Aptos" w:cs="Aptos"/>
          <w:i/>
          <w:iCs/>
        </w:rPr>
      </w:pPr>
      <w:r w:rsidRPr="2CE517D3">
        <w:rPr>
          <w:rFonts w:ascii="Aptos" w:hAnsi="Aptos" w:eastAsia="Aptos" w:cs="Aptos"/>
        </w:rPr>
        <w:t xml:space="preserve">The school may issue a formal </w:t>
      </w:r>
      <w:r w:rsidRPr="2CE517D3">
        <w:rPr>
          <w:rFonts w:ascii="Aptos" w:hAnsi="Aptos" w:eastAsia="Aptos" w:cs="Aptos"/>
          <w:i/>
          <w:iCs/>
        </w:rPr>
        <w:t>communications plan</w:t>
      </w:r>
    </w:p>
    <w:p w:rsidR="1369B1EC" w:rsidP="2CE517D3" w:rsidRDefault="1369B1EC" w14:paraId="781879B4" w14:textId="385D970B">
      <w:pPr>
        <w:pStyle w:val="ListParagraph"/>
        <w:numPr>
          <w:ilvl w:val="0"/>
          <w:numId w:val="4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Limits may be set (e.g., contact through a single staff member or via office only)</w:t>
      </w:r>
    </w:p>
    <w:p w:rsidR="1369B1EC" w:rsidP="2CE517D3" w:rsidRDefault="1369B1EC" w14:paraId="60955F2B" w14:textId="1D123F16">
      <w:pPr>
        <w:pStyle w:val="ListParagraph"/>
        <w:numPr>
          <w:ilvl w:val="0"/>
          <w:numId w:val="4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Response timelines may be adjusted and expectations reset</w:t>
      </w:r>
    </w:p>
    <w:p w:rsidR="1369B1EC" w:rsidP="2CE517D3" w:rsidRDefault="1369B1EC" w14:paraId="13B15B71" w14:textId="04552232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8. Non-Negotiable Decisions</w:t>
      </w:r>
    </w:p>
    <w:p w:rsidR="1369B1EC" w:rsidP="2CE517D3" w:rsidRDefault="1369B1EC" w14:paraId="7FE2A3C9" w14:textId="77FCECAC">
      <w:pPr>
        <w:spacing w:before="240" w:after="240"/>
      </w:pPr>
      <w:r w:rsidRPr="2CE517D3">
        <w:rPr>
          <w:rFonts w:ascii="Aptos" w:hAnsi="Aptos" w:eastAsia="Aptos" w:cs="Aptos"/>
        </w:rPr>
        <w:t>Operational decisions that are not open to negotiation include:</w:t>
      </w:r>
    </w:p>
    <w:p w:rsidR="1369B1EC" w:rsidP="2CE517D3" w:rsidRDefault="1369B1EC" w14:paraId="49D543D3" w14:textId="240BF269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Staffing and class arrangements</w:t>
      </w:r>
    </w:p>
    <w:p w:rsidR="1369B1EC" w:rsidP="2CE517D3" w:rsidRDefault="1369B1EC" w14:paraId="424C450A" w14:textId="3C0A9EF6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Curriculum design and behaviour sanctions</w:t>
      </w:r>
    </w:p>
    <w:p w:rsidR="1369B1EC" w:rsidP="2CE517D3" w:rsidRDefault="1369B1EC" w14:paraId="5AD007E5" w14:textId="1FA37801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School trips and event planning</w:t>
      </w:r>
    </w:p>
    <w:p w:rsidR="1369B1EC" w:rsidP="2CE517D3" w:rsidRDefault="1369B1EC" w14:paraId="49D155DB" w14:textId="22B7289D">
      <w:pPr>
        <w:pStyle w:val="ListParagraph"/>
        <w:numPr>
          <w:ilvl w:val="0"/>
          <w:numId w:val="3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INSET timing, safeguarding measures, and QA processes</w:t>
      </w:r>
    </w:p>
    <w:p w:rsidR="1369B1EC" w:rsidP="2CE517D3" w:rsidRDefault="1369B1EC" w14:paraId="7609B924" w14:textId="4DEDB32D">
      <w:pPr>
        <w:spacing w:before="240" w:after="240"/>
      </w:pPr>
      <w:r w:rsidRPr="2CE517D3">
        <w:rPr>
          <w:rFonts w:ascii="Aptos" w:hAnsi="Aptos" w:eastAsia="Aptos" w:cs="Aptos"/>
        </w:rPr>
        <w:t xml:space="preserve">Parents may raise </w:t>
      </w:r>
      <w:proofErr w:type="gramStart"/>
      <w:r w:rsidRPr="2CE517D3">
        <w:rPr>
          <w:rFonts w:ascii="Aptos" w:hAnsi="Aptos" w:eastAsia="Aptos" w:cs="Aptos"/>
        </w:rPr>
        <w:t>concerns</w:t>
      </w:r>
      <w:proofErr w:type="gramEnd"/>
      <w:r w:rsidRPr="2CE517D3">
        <w:rPr>
          <w:rFonts w:ascii="Aptos" w:hAnsi="Aptos" w:eastAsia="Aptos" w:cs="Aptos"/>
        </w:rPr>
        <w:t xml:space="preserve"> but the school reserves the right to maintain decisions in line with DfE guidance, resource availability, and professional judgement.</w:t>
      </w:r>
    </w:p>
    <w:p w:rsidR="1369B1EC" w:rsidP="2CE517D3" w:rsidRDefault="1369B1EC" w14:paraId="0D90BC3E" w14:textId="4F83A92C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9. Monitoring and Review</w:t>
      </w:r>
    </w:p>
    <w:p w:rsidR="1369B1EC" w:rsidP="2CE517D3" w:rsidRDefault="1369B1EC" w14:paraId="53AE94A8" w14:textId="6C73B6BF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This policy is reviewed every 2 years or as needed</w:t>
      </w:r>
    </w:p>
    <w:p w:rsidR="1369B1EC" w:rsidP="2CE517D3" w:rsidRDefault="1369B1EC" w14:paraId="5245CA32" w14:textId="6C006139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Ratified by Governors</w:t>
      </w:r>
    </w:p>
    <w:p w:rsidR="1369B1EC" w:rsidP="2CE517D3" w:rsidRDefault="1369B1EC" w14:paraId="33C5E05D" w14:textId="6D8DF2F7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Reviewed by the Headteacher</w:t>
      </w:r>
    </w:p>
    <w:p w:rsidR="1369B1EC" w:rsidP="2CE517D3" w:rsidRDefault="1369B1EC" w14:paraId="4184541A" w14:textId="3A11840E">
      <w:pPr>
        <w:pStyle w:val="Heading3"/>
        <w:spacing w:before="281" w:after="281"/>
      </w:pPr>
      <w:r w:rsidRPr="2CE517D3">
        <w:rPr>
          <w:rFonts w:ascii="Aptos" w:hAnsi="Aptos" w:eastAsia="Aptos" w:cs="Aptos"/>
          <w:b/>
          <w:bCs/>
        </w:rPr>
        <w:t>10. Linked Documents</w:t>
      </w:r>
    </w:p>
    <w:p w:rsidR="1369B1EC" w:rsidP="2CE517D3" w:rsidRDefault="1369B1EC" w14:paraId="75AB5D0A" w14:textId="57662899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Home School Agreement</w:t>
      </w:r>
    </w:p>
    <w:p w:rsidR="1369B1EC" w:rsidP="2CE517D3" w:rsidRDefault="1369B1EC" w14:paraId="535561DD" w14:textId="51529936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lastRenderedPageBreak/>
        <w:t>Complaints Policy</w:t>
      </w:r>
    </w:p>
    <w:p w:rsidR="1369B1EC" w:rsidP="2CE517D3" w:rsidRDefault="1369B1EC" w14:paraId="1E5761A8" w14:textId="5E6AE4BF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Safeguarding and Child Protection Policy</w:t>
      </w:r>
    </w:p>
    <w:p w:rsidR="1369B1EC" w:rsidP="2CE517D3" w:rsidRDefault="1369B1EC" w14:paraId="5ACCB07A" w14:textId="360C94D3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Staff &amp; Pupil Acceptable Use Policies (AUP)</w:t>
      </w:r>
    </w:p>
    <w:p w:rsidR="1369B1EC" w:rsidP="2CE517D3" w:rsidRDefault="1369B1EC" w14:paraId="581C275E" w14:textId="20D7A759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SEND Information Report</w:t>
      </w:r>
    </w:p>
    <w:p w:rsidR="1369B1EC" w:rsidP="2CE517D3" w:rsidRDefault="1369B1EC" w14:paraId="1ABD1628" w14:textId="7F44957F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2CE517D3">
        <w:rPr>
          <w:rFonts w:ascii="Aptos" w:hAnsi="Aptos" w:eastAsia="Aptos" w:cs="Aptos"/>
        </w:rPr>
        <w:t>Safer Working Practice Guidance</w:t>
      </w:r>
    </w:p>
    <w:p w:rsidR="2CE517D3" w:rsidP="2CE517D3" w:rsidRDefault="2CE517D3" w14:paraId="2C7DB9FC" w14:textId="79DBDE66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033788F7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58564833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43775630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27C4CAD8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68AE838D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49EEB8BF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344045C9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4D604158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23C5DF7F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3DD8CBBF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3041BCA0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1F108F9C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24A72137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5954B64F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17FFF471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379DE89C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2EDDF0A0" w14:textId="77777777">
      <w:pPr>
        <w:spacing w:before="240" w:after="240"/>
        <w:rPr>
          <w:rFonts w:ascii="Aptos" w:hAnsi="Aptos" w:eastAsia="Aptos" w:cs="Aptos"/>
        </w:rPr>
      </w:pPr>
    </w:p>
    <w:p w:rsidR="00CE37B4" w:rsidP="2CE517D3" w:rsidRDefault="00CE37B4" w14:paraId="2413FAE4" w14:textId="77777777">
      <w:pPr>
        <w:spacing w:before="240" w:after="240"/>
        <w:rPr>
          <w:rFonts w:ascii="Aptos" w:hAnsi="Aptos" w:eastAsia="Aptos" w:cs="Aptos"/>
        </w:rPr>
      </w:pPr>
    </w:p>
    <w:p w:rsidR="000168F0" w:rsidP="69D9769F" w:rsidRDefault="000168F0" w14:paraId="4E16D0CA" w14:textId="5B9BD4A4">
      <w:pPr>
        <w:spacing w:after="0"/>
      </w:pPr>
    </w:p>
    <w:p w:rsidRPr="00393AE5" w:rsidR="000168F0" w:rsidP="00393AE5" w:rsidRDefault="6A5F6D8E" w14:paraId="7ED1E773" w14:textId="12F4A9F5">
      <w:pPr>
        <w:pStyle w:val="Heading3"/>
      </w:pPr>
      <w:r w:rsidRPr="00393AE5">
        <w:lastRenderedPageBreak/>
        <w:t>Appendix A: Key Contact Routes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6"/>
        <w:gridCol w:w="5822"/>
      </w:tblGrid>
      <w:tr w:rsidR="69D9769F" w:rsidTr="008D191B" w14:paraId="7E7B42E8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4D92B241" w14:textId="6A64C57E">
            <w:pPr>
              <w:jc w:val="center"/>
            </w:pPr>
            <w:r w:rsidRPr="69D9769F">
              <w:rPr>
                <w:b/>
                <w:bCs/>
              </w:rPr>
              <w:t xml:space="preserve">Query or </w:t>
            </w:r>
            <w:proofErr w:type="gramStart"/>
            <w:r w:rsidRPr="69D9769F">
              <w:rPr>
                <w:b/>
                <w:bCs/>
              </w:rPr>
              <w:t>Concern</w:t>
            </w:r>
            <w:proofErr w:type="gramEnd"/>
          </w:p>
        </w:tc>
        <w:tc>
          <w:tcPr>
            <w:tcW w:w="5822" w:type="dxa"/>
          </w:tcPr>
          <w:p w:rsidR="69D9769F" w:rsidP="69D9769F" w:rsidRDefault="69D9769F" w14:paraId="7031A8BC" w14:textId="1FDA625B">
            <w:pPr>
              <w:jc w:val="center"/>
            </w:pPr>
            <w:r w:rsidRPr="69D9769F">
              <w:rPr>
                <w:b/>
                <w:bCs/>
              </w:rPr>
              <w:t>Who to Contact</w:t>
            </w:r>
          </w:p>
        </w:tc>
      </w:tr>
      <w:tr w:rsidR="69D9769F" w:rsidTr="008D191B" w14:paraId="13E44ECD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5E975D2C" w14:textId="10FBA306">
            <w:r>
              <w:t>Learning or Class Activities</w:t>
            </w:r>
          </w:p>
        </w:tc>
        <w:tc>
          <w:tcPr>
            <w:tcW w:w="5822" w:type="dxa"/>
          </w:tcPr>
          <w:p w:rsidR="69D9769F" w:rsidP="69D9769F" w:rsidRDefault="69D9769F" w14:paraId="4484C041" w14:textId="69080455">
            <w:r>
              <w:t>Class Teacher</w:t>
            </w:r>
          </w:p>
        </w:tc>
      </w:tr>
      <w:tr w:rsidR="69D9769F" w:rsidTr="008D191B" w14:paraId="7AE6432E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235CB851" w14:textId="200B82A4">
            <w:r>
              <w:t>Pastoral/Welfare</w:t>
            </w:r>
          </w:p>
        </w:tc>
        <w:tc>
          <w:tcPr>
            <w:tcW w:w="5822" w:type="dxa"/>
          </w:tcPr>
          <w:p w:rsidR="69D9769F" w:rsidP="69D9769F" w:rsidRDefault="69D9769F" w14:paraId="1B6C951A" w14:textId="1FD59B50">
            <w:r>
              <w:t>Safeguarding and Welfare Officer (SGWO) or Class Teacher</w:t>
            </w:r>
          </w:p>
        </w:tc>
      </w:tr>
      <w:tr w:rsidR="69D9769F" w:rsidTr="008D191B" w14:paraId="5154ED71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5598BBDE" w14:textId="31AE58C0">
            <w:r>
              <w:t>Absence Reporting</w:t>
            </w:r>
          </w:p>
        </w:tc>
        <w:tc>
          <w:tcPr>
            <w:tcW w:w="5822" w:type="dxa"/>
          </w:tcPr>
          <w:p w:rsidR="69D9769F" w:rsidP="69D9769F" w:rsidRDefault="69D9769F" w14:paraId="5CA30A08" w14:textId="7FFC2D76">
            <w:r>
              <w:t>Call the school office before 9:30am</w:t>
            </w:r>
          </w:p>
        </w:tc>
      </w:tr>
      <w:tr w:rsidR="69D9769F" w:rsidTr="008D191B" w14:paraId="39986F24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52197D0B" w14:textId="530A0179">
            <w:r>
              <w:t>Term-time Leave Requests</w:t>
            </w:r>
          </w:p>
        </w:tc>
        <w:tc>
          <w:tcPr>
            <w:tcW w:w="5822" w:type="dxa"/>
          </w:tcPr>
          <w:p w:rsidR="69D9769F" w:rsidP="69D9769F" w:rsidRDefault="69D9769F" w14:paraId="7DA94585" w14:textId="29242504">
            <w:r>
              <w:t>Email the school office</w:t>
            </w:r>
          </w:p>
        </w:tc>
      </w:tr>
      <w:tr w:rsidR="69D9769F" w:rsidTr="008D191B" w14:paraId="41423453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7BD85E9B" w14:textId="04402412">
            <w:r>
              <w:t>Safeguarding</w:t>
            </w:r>
          </w:p>
        </w:tc>
        <w:tc>
          <w:tcPr>
            <w:tcW w:w="5822" w:type="dxa"/>
          </w:tcPr>
          <w:p w:rsidR="69D9769F" w:rsidP="69D9769F" w:rsidRDefault="69D9769F" w14:paraId="461B36FF" w14:textId="2A9939D6">
            <w:r>
              <w:t>Any DSL (displayed throughout school and website)</w:t>
            </w:r>
          </w:p>
        </w:tc>
      </w:tr>
      <w:tr w:rsidR="69D9769F" w:rsidTr="008D191B" w14:paraId="11E7D5D3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597583F3" w14:textId="57BAE201">
            <w:r>
              <w:t>Payments / Trips / Uniform</w:t>
            </w:r>
          </w:p>
        </w:tc>
        <w:tc>
          <w:tcPr>
            <w:tcW w:w="5822" w:type="dxa"/>
          </w:tcPr>
          <w:p w:rsidR="69D9769F" w:rsidP="69D9769F" w:rsidRDefault="69D9769F" w14:paraId="7488D21C" w14:textId="1C5724DD">
            <w:r>
              <w:t>School Office</w:t>
            </w:r>
          </w:p>
        </w:tc>
      </w:tr>
      <w:tr w:rsidR="69D9769F" w:rsidTr="008D191B" w14:paraId="42D45625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51279BD2" w14:textId="58634C82">
            <w:r>
              <w:t>Special Educational Needs</w:t>
            </w:r>
          </w:p>
        </w:tc>
        <w:tc>
          <w:tcPr>
            <w:tcW w:w="5822" w:type="dxa"/>
          </w:tcPr>
          <w:p w:rsidR="69D9769F" w:rsidP="69D9769F" w:rsidRDefault="69D9769F" w14:paraId="62A7AB58" w14:textId="301DB954">
            <w:r>
              <w:t>SENDCo via school office</w:t>
            </w:r>
          </w:p>
        </w:tc>
      </w:tr>
      <w:tr w:rsidR="69D9769F" w:rsidTr="008D191B" w14:paraId="642BF26E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30DD7993" w14:textId="02D9F950">
            <w:r>
              <w:t>Clubs or Wraparound Care</w:t>
            </w:r>
          </w:p>
        </w:tc>
        <w:tc>
          <w:tcPr>
            <w:tcW w:w="5822" w:type="dxa"/>
          </w:tcPr>
          <w:p w:rsidR="69D9769F" w:rsidP="69D9769F" w:rsidRDefault="69D9769F" w14:paraId="662CF532" w14:textId="36B376E7">
            <w:r>
              <w:t>School Office</w:t>
            </w:r>
          </w:p>
        </w:tc>
      </w:tr>
      <w:tr w:rsidR="69D9769F" w:rsidTr="008D191B" w14:paraId="67292583" w14:textId="77777777">
        <w:trPr>
          <w:trHeight w:val="300"/>
        </w:trPr>
        <w:tc>
          <w:tcPr>
            <w:tcW w:w="2686" w:type="dxa"/>
          </w:tcPr>
          <w:p w:rsidR="69D9769F" w:rsidP="69D9769F" w:rsidRDefault="69D9769F" w14:paraId="315894D5" w14:textId="581C0D3B">
            <w:r>
              <w:t>Complaints</w:t>
            </w:r>
          </w:p>
        </w:tc>
        <w:tc>
          <w:tcPr>
            <w:tcW w:w="5822" w:type="dxa"/>
          </w:tcPr>
          <w:p w:rsidR="69D9769F" w:rsidP="69D9769F" w:rsidRDefault="69D9769F" w14:paraId="017001A2" w14:textId="71A389DE">
            <w:r>
              <w:t>Refer to the School Complaints Policy</w:t>
            </w:r>
          </w:p>
        </w:tc>
      </w:tr>
    </w:tbl>
    <w:p w:rsidR="000168F0" w:rsidP="69D9769F" w:rsidRDefault="6A5F6D8E" w14:paraId="52E4A1D7" w14:textId="59FA04C9">
      <w:pPr>
        <w:spacing w:before="240" w:after="240"/>
        <w:rPr>
          <w:rFonts w:ascii="Aptos" w:hAnsi="Aptos" w:eastAsia="Aptos" w:cs="Aptos"/>
          <w:i/>
          <w:iCs/>
        </w:rPr>
      </w:pPr>
      <w:r w:rsidRPr="69D9769F">
        <w:rPr>
          <w:rFonts w:ascii="Aptos" w:hAnsi="Aptos" w:eastAsia="Aptos" w:cs="Aptos"/>
          <w:i/>
          <w:iCs/>
        </w:rPr>
        <w:t>Please check the school website for up-to-date information before contacting us</w:t>
      </w:r>
    </w:p>
    <w:p w:rsidR="00542B21" w:rsidP="69D9769F" w:rsidRDefault="00542B21" w14:paraId="679677B9" w14:textId="127BD2D8">
      <w:pPr>
        <w:spacing w:before="240" w:after="240"/>
      </w:pPr>
    </w:p>
    <w:p w:rsidR="00542B21" w:rsidP="69D9769F" w:rsidRDefault="00542B21" w14:paraId="33546BC1" w14:textId="48B6A94C">
      <w:pPr>
        <w:spacing w:before="240" w:after="240"/>
      </w:pPr>
    </w:p>
    <w:p w:rsidR="00542B21" w:rsidP="69D9769F" w:rsidRDefault="00542B21" w14:paraId="2289AED0" w14:textId="1704321D">
      <w:pPr>
        <w:spacing w:before="240" w:after="240"/>
      </w:pPr>
    </w:p>
    <w:p w:rsidR="2CE517D3" w:rsidP="2CE517D3" w:rsidRDefault="2CE517D3" w14:paraId="21FB833F" w14:textId="333458BA">
      <w:pPr>
        <w:spacing w:before="240" w:after="240"/>
      </w:pPr>
    </w:p>
    <w:p w:rsidR="2CE517D3" w:rsidP="2CE517D3" w:rsidRDefault="2CE517D3" w14:paraId="06194291" w14:textId="7C1C41E3">
      <w:pPr>
        <w:spacing w:before="240" w:after="240"/>
      </w:pPr>
    </w:p>
    <w:p w:rsidR="2CE517D3" w:rsidP="2CE517D3" w:rsidRDefault="2CE517D3" w14:paraId="48940D7C" w14:textId="6A7F3FA0">
      <w:pPr>
        <w:spacing w:before="240" w:after="240"/>
      </w:pPr>
    </w:p>
    <w:p w:rsidR="2CE517D3" w:rsidP="2CE517D3" w:rsidRDefault="2CE517D3" w14:paraId="48E89AC7" w14:textId="16D93EE1">
      <w:pPr>
        <w:spacing w:before="240" w:after="240"/>
      </w:pPr>
    </w:p>
    <w:p w:rsidR="00CE37B4" w:rsidP="2CE517D3" w:rsidRDefault="00CE37B4" w14:paraId="097130B8" w14:textId="77777777">
      <w:pPr>
        <w:spacing w:before="240" w:after="240"/>
      </w:pPr>
    </w:p>
    <w:p w:rsidR="00CE37B4" w:rsidP="2CE517D3" w:rsidRDefault="00CE37B4" w14:paraId="3CEEBF27" w14:textId="77777777">
      <w:pPr>
        <w:spacing w:before="240" w:after="240"/>
      </w:pPr>
    </w:p>
    <w:p w:rsidR="2CE517D3" w:rsidP="2CE517D3" w:rsidRDefault="2CE517D3" w14:paraId="56224F6A" w14:textId="0C124E2E">
      <w:pPr>
        <w:spacing w:before="240" w:after="240"/>
      </w:pPr>
    </w:p>
    <w:p w:rsidR="2CE517D3" w:rsidP="2CE517D3" w:rsidRDefault="2CE517D3" w14:paraId="0249E0E2" w14:textId="1031D839">
      <w:pPr>
        <w:spacing w:before="240" w:after="240"/>
      </w:pPr>
    </w:p>
    <w:p w:rsidR="2CE517D3" w:rsidP="2CE517D3" w:rsidRDefault="2CE517D3" w14:paraId="4D518F9C" w14:textId="518D8724">
      <w:pPr>
        <w:spacing w:before="240" w:after="240"/>
      </w:pPr>
    </w:p>
    <w:p w:rsidR="00542B21" w:rsidP="00542B21" w:rsidRDefault="00542B21" w14:paraId="3126ED09" w14:textId="0BA2ACAB">
      <w:pPr>
        <w:pStyle w:val="Heading3"/>
      </w:pPr>
      <w:r w:rsidRPr="00393AE5">
        <w:lastRenderedPageBreak/>
        <w:t xml:space="preserve">Appendix </w:t>
      </w:r>
      <w:r>
        <w:t>B</w:t>
      </w:r>
      <w:r w:rsidRPr="00393AE5">
        <w:t>:</w:t>
      </w:r>
      <w:r>
        <w:t xml:space="preserve"> Home School Agreement (Parental expectations).</w:t>
      </w:r>
    </w:p>
    <w:p w:rsidR="00542B21" w:rsidP="00CE37B4" w:rsidRDefault="00542B21" w14:paraId="697AA3DF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Treat all pupils, staff, and members of the school community with kindness and respect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20ED7F73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Ensure my child attends school regularly and arrives on time in the correct uniform or PE kit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523F25A9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Report absences to school, ideally using the Arbor App, and keep the school updated on health and contact details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5B9497CA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Communicate respectfully and calmly with school staff, modelling positive behaviour for my child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6E900097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Refer to the Home-School Communication Policy for how and when staff will respond (acknowledgement may take up to 3 school days)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2573836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Use the Arbor App to: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5B844168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View attendance, Report absences, Update contact information, Access reports &amp; Make payments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7BCE27D1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Support home learning by encouraging completion of: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2EDA727D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Weekly homework tasks (booklets or paper sheets)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0D66FF1A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Reading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43554C2E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Times Tables Rock Stars (TTRS) and </w:t>
      </w:r>
      <w:proofErr w:type="spellStart"/>
      <w:r>
        <w:rPr>
          <w:rStyle w:val="normaltextrun"/>
          <w:rFonts w:eastAsiaTheme="majorEastAsia"/>
        </w:rPr>
        <w:t>Numbots</w:t>
      </w:r>
      <w:proofErr w:type="spellEnd"/>
      <w:r>
        <w:rPr>
          <w:rStyle w:val="eop"/>
          <w:rFonts w:eastAsiaTheme="majorEastAsia"/>
        </w:rPr>
        <w:t> </w:t>
      </w:r>
    </w:p>
    <w:p w:rsidR="00542B21" w:rsidP="00CE37B4" w:rsidRDefault="00542B21" w14:paraId="3A586258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Weekly phonics activities (for younger pupils)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6BC19771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Support the school’s restorative behaviour approach by discussing issues calmly with my child and helping them reflect on and resolve concerns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7CDBC33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Attend parent meetings and follow through on any agreed actions or support plans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15DCBD85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Regularly read the school’s newsletter, check the calendar and Arbor messages</w:t>
      </w:r>
      <w:r>
        <w:rPr>
          <w:rStyle w:val="eop"/>
          <w:rFonts w:eastAsiaTheme="majorEastAsia"/>
        </w:rPr>
        <w:t> </w:t>
      </w:r>
    </w:p>
    <w:p w:rsidR="00542B21" w:rsidP="00CE37B4" w:rsidRDefault="00542B21" w14:paraId="505F5522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eastAsiaTheme="majorEastAsia"/>
        </w:rPr>
        <w:t>Refer to the School Communication Policy for further information on working together to support my child’s learning and wellbeing</w:t>
      </w:r>
      <w:r>
        <w:rPr>
          <w:rStyle w:val="eop"/>
          <w:rFonts w:eastAsiaTheme="majorEastAsia"/>
        </w:rPr>
        <w:t> </w:t>
      </w:r>
    </w:p>
    <w:p w:rsidRPr="00542B21" w:rsidR="00542B21" w:rsidP="00542B21" w:rsidRDefault="00542B21" w14:paraId="7AC6D54A" w14:textId="77777777"/>
    <w:p w:rsidR="00542B21" w:rsidP="69D9769F" w:rsidRDefault="00542B21" w14:paraId="48990378" w14:textId="77777777">
      <w:pPr>
        <w:spacing w:before="240" w:after="240"/>
      </w:pPr>
    </w:p>
    <w:sectPr w:rsidR="00542B2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49DC"/>
    <w:multiLevelType w:val="hybridMultilevel"/>
    <w:tmpl w:val="88549752"/>
    <w:lvl w:ilvl="0" w:tplc="BA64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9C18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DAC0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5A5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6A2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618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BEF6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C05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34B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B0C71"/>
    <w:multiLevelType w:val="multilevel"/>
    <w:tmpl w:val="F8C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A40FCC"/>
    <w:multiLevelType w:val="hybridMultilevel"/>
    <w:tmpl w:val="3AC867F0"/>
    <w:lvl w:ilvl="0" w:tplc="EAB23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5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D83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0E6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A23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882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6AA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644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E42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E61A76"/>
    <w:multiLevelType w:val="hybridMultilevel"/>
    <w:tmpl w:val="D646E0CE"/>
    <w:lvl w:ilvl="0" w:tplc="DCF2D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B65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1E7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8D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8A2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F21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367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A2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926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5677F6"/>
    <w:multiLevelType w:val="multilevel"/>
    <w:tmpl w:val="E284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D4B7462"/>
    <w:multiLevelType w:val="multilevel"/>
    <w:tmpl w:val="33F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DB31E97"/>
    <w:multiLevelType w:val="multilevel"/>
    <w:tmpl w:val="615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155D18"/>
    <w:multiLevelType w:val="multilevel"/>
    <w:tmpl w:val="4DE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6455F2"/>
    <w:multiLevelType w:val="hybridMultilevel"/>
    <w:tmpl w:val="9A509996"/>
    <w:lvl w:ilvl="0" w:tplc="8354A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464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25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8E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563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2A0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D23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C4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4B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C0B380"/>
    <w:multiLevelType w:val="hybridMultilevel"/>
    <w:tmpl w:val="5C8007C4"/>
    <w:lvl w:ilvl="0" w:tplc="4A946E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AA8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FE0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66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C8E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09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6E1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1E28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7A2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D597B3"/>
    <w:multiLevelType w:val="hybridMultilevel"/>
    <w:tmpl w:val="E7E02AC8"/>
    <w:lvl w:ilvl="0" w:tplc="92BA6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7AF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560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D06A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0A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2CF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78D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3A9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A3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0B5B96"/>
    <w:multiLevelType w:val="hybridMultilevel"/>
    <w:tmpl w:val="A230776C"/>
    <w:lvl w:ilvl="0" w:tplc="E70C36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27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F02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A01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0AB9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02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403C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4A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541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1C7567"/>
    <w:multiLevelType w:val="multilevel"/>
    <w:tmpl w:val="A4C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94D70C5"/>
    <w:multiLevelType w:val="multilevel"/>
    <w:tmpl w:val="08646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3B1A1CEF"/>
    <w:multiLevelType w:val="multilevel"/>
    <w:tmpl w:val="5126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3FB70678"/>
    <w:multiLevelType w:val="multilevel"/>
    <w:tmpl w:val="C18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A0B0060"/>
    <w:multiLevelType w:val="hybridMultilevel"/>
    <w:tmpl w:val="786E79AA"/>
    <w:lvl w:ilvl="0" w:tplc="EA08E3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664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107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04E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501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4CA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5854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488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189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A420DD"/>
    <w:multiLevelType w:val="multilevel"/>
    <w:tmpl w:val="04F6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0064616"/>
    <w:multiLevelType w:val="multilevel"/>
    <w:tmpl w:val="FF9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AF64E9"/>
    <w:multiLevelType w:val="hybridMultilevel"/>
    <w:tmpl w:val="2C8C65D6"/>
    <w:lvl w:ilvl="0" w:tplc="27F442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265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4261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68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FE9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7857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4D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743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4C0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535ADA"/>
    <w:multiLevelType w:val="multilevel"/>
    <w:tmpl w:val="44BA0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350FDCE"/>
    <w:multiLevelType w:val="hybridMultilevel"/>
    <w:tmpl w:val="CBA4D5D8"/>
    <w:lvl w:ilvl="0" w:tplc="73643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9A0C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CE6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803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CFB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C62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D86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5A1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C3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95BFE6"/>
    <w:multiLevelType w:val="hybridMultilevel"/>
    <w:tmpl w:val="001C885A"/>
    <w:lvl w:ilvl="0" w:tplc="6CA428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80B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0CF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98C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46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C6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26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EA4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902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42492D"/>
    <w:multiLevelType w:val="multilevel"/>
    <w:tmpl w:val="0AD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EE21917"/>
    <w:multiLevelType w:val="multilevel"/>
    <w:tmpl w:val="6F7C4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725E00DB"/>
    <w:multiLevelType w:val="hybridMultilevel"/>
    <w:tmpl w:val="A71A273E"/>
    <w:lvl w:ilvl="0" w:tplc="C63A5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8CC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AB0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83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C8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B650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C8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28A7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B8A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7B2BF7"/>
    <w:multiLevelType w:val="multilevel"/>
    <w:tmpl w:val="C462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C3973F8"/>
    <w:multiLevelType w:val="multilevel"/>
    <w:tmpl w:val="9FC26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7D69C56C"/>
    <w:multiLevelType w:val="hybridMultilevel"/>
    <w:tmpl w:val="02B8A4D8"/>
    <w:lvl w:ilvl="0" w:tplc="6A3E5C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C8A0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E438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457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322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40C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908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82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DC9E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29137">
    <w:abstractNumId w:val="22"/>
  </w:num>
  <w:num w:numId="2" w16cid:durableId="1856192971">
    <w:abstractNumId w:val="9"/>
  </w:num>
  <w:num w:numId="3" w16cid:durableId="134875841">
    <w:abstractNumId w:val="21"/>
  </w:num>
  <w:num w:numId="4" w16cid:durableId="91633899">
    <w:abstractNumId w:val="11"/>
  </w:num>
  <w:num w:numId="5" w16cid:durableId="354188305">
    <w:abstractNumId w:val="28"/>
  </w:num>
  <w:num w:numId="6" w16cid:durableId="2085643417">
    <w:abstractNumId w:val="10"/>
  </w:num>
  <w:num w:numId="7" w16cid:durableId="612248170">
    <w:abstractNumId w:val="16"/>
  </w:num>
  <w:num w:numId="8" w16cid:durableId="1764911621">
    <w:abstractNumId w:val="19"/>
  </w:num>
  <w:num w:numId="9" w16cid:durableId="523903563">
    <w:abstractNumId w:val="25"/>
  </w:num>
  <w:num w:numId="10" w16cid:durableId="928268215">
    <w:abstractNumId w:val="3"/>
  </w:num>
  <w:num w:numId="11" w16cid:durableId="795678962">
    <w:abstractNumId w:val="8"/>
  </w:num>
  <w:num w:numId="12" w16cid:durableId="1384867893">
    <w:abstractNumId w:val="0"/>
  </w:num>
  <w:num w:numId="13" w16cid:durableId="957567581">
    <w:abstractNumId w:val="2"/>
  </w:num>
  <w:num w:numId="14" w16cid:durableId="2049991108">
    <w:abstractNumId w:val="18"/>
  </w:num>
  <w:num w:numId="15" w16cid:durableId="1467821375">
    <w:abstractNumId w:val="23"/>
  </w:num>
  <w:num w:numId="16" w16cid:durableId="95909601">
    <w:abstractNumId w:val="6"/>
  </w:num>
  <w:num w:numId="17" w16cid:durableId="1023943100">
    <w:abstractNumId w:val="7"/>
  </w:num>
  <w:num w:numId="18" w16cid:durableId="1438984420">
    <w:abstractNumId w:val="4"/>
  </w:num>
  <w:num w:numId="19" w16cid:durableId="139538589">
    <w:abstractNumId w:val="15"/>
  </w:num>
  <w:num w:numId="20" w16cid:durableId="1338072052">
    <w:abstractNumId w:val="13"/>
  </w:num>
  <w:num w:numId="21" w16cid:durableId="850726732">
    <w:abstractNumId w:val="1"/>
  </w:num>
  <w:num w:numId="22" w16cid:durableId="1773817762">
    <w:abstractNumId w:val="27"/>
  </w:num>
  <w:num w:numId="23" w16cid:durableId="1175074489">
    <w:abstractNumId w:val="20"/>
  </w:num>
  <w:num w:numId="24" w16cid:durableId="294721533">
    <w:abstractNumId w:val="14"/>
  </w:num>
  <w:num w:numId="25" w16cid:durableId="1137264190">
    <w:abstractNumId w:val="24"/>
  </w:num>
  <w:num w:numId="26" w16cid:durableId="362366818">
    <w:abstractNumId w:val="5"/>
  </w:num>
  <w:num w:numId="27" w16cid:durableId="1298293349">
    <w:abstractNumId w:val="12"/>
  </w:num>
  <w:num w:numId="28" w16cid:durableId="2087147795">
    <w:abstractNumId w:val="26"/>
  </w:num>
  <w:num w:numId="29" w16cid:durableId="1306350268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FAD33"/>
    <w:rsid w:val="000168F0"/>
    <w:rsid w:val="001E4583"/>
    <w:rsid w:val="002F63CE"/>
    <w:rsid w:val="00393AE5"/>
    <w:rsid w:val="00542B21"/>
    <w:rsid w:val="00551A54"/>
    <w:rsid w:val="006767C7"/>
    <w:rsid w:val="00712B07"/>
    <w:rsid w:val="007C5B44"/>
    <w:rsid w:val="007F5229"/>
    <w:rsid w:val="008D191B"/>
    <w:rsid w:val="00BB559C"/>
    <w:rsid w:val="00CE37B4"/>
    <w:rsid w:val="00D3090C"/>
    <w:rsid w:val="00FD534E"/>
    <w:rsid w:val="05B56067"/>
    <w:rsid w:val="06594AB0"/>
    <w:rsid w:val="0C07AD77"/>
    <w:rsid w:val="105745FB"/>
    <w:rsid w:val="11B8AE10"/>
    <w:rsid w:val="1369B1EC"/>
    <w:rsid w:val="163E6654"/>
    <w:rsid w:val="16F1B6B5"/>
    <w:rsid w:val="196A9F96"/>
    <w:rsid w:val="1A01CEDC"/>
    <w:rsid w:val="235BC330"/>
    <w:rsid w:val="24773F99"/>
    <w:rsid w:val="2532F4E2"/>
    <w:rsid w:val="2A2C765D"/>
    <w:rsid w:val="2AA3C7C9"/>
    <w:rsid w:val="2CBC17CF"/>
    <w:rsid w:val="2CE517D3"/>
    <w:rsid w:val="2D530F92"/>
    <w:rsid w:val="3049375B"/>
    <w:rsid w:val="305323CC"/>
    <w:rsid w:val="313EF570"/>
    <w:rsid w:val="319F0E8F"/>
    <w:rsid w:val="33A8082B"/>
    <w:rsid w:val="343F2836"/>
    <w:rsid w:val="371DFAE5"/>
    <w:rsid w:val="3FBD4644"/>
    <w:rsid w:val="448850E8"/>
    <w:rsid w:val="484E877D"/>
    <w:rsid w:val="4A500E1C"/>
    <w:rsid w:val="4C812002"/>
    <w:rsid w:val="4E4ECF48"/>
    <w:rsid w:val="519963D6"/>
    <w:rsid w:val="5A9106D1"/>
    <w:rsid w:val="5B80A49F"/>
    <w:rsid w:val="66893023"/>
    <w:rsid w:val="674A9551"/>
    <w:rsid w:val="69D9769F"/>
    <w:rsid w:val="6A5F6D8E"/>
    <w:rsid w:val="6AA11DE7"/>
    <w:rsid w:val="71D0980C"/>
    <w:rsid w:val="7212F840"/>
    <w:rsid w:val="74C28F6B"/>
    <w:rsid w:val="7634FA6B"/>
    <w:rsid w:val="76FFAD33"/>
    <w:rsid w:val="7F54C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FAD33"/>
  <w15:chartTrackingRefBased/>
  <w15:docId w15:val="{1969829C-E4C5-4938-97F9-A152213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D9769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542B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542B21"/>
  </w:style>
  <w:style w:type="character" w:styleId="eop" w:customStyle="1">
    <w:name w:val="eop"/>
    <w:basedOn w:val="DefaultParagraphFont"/>
    <w:rsid w:val="0054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3DF3BE99CC44DAE1014EFEC6E6CEF" ma:contentTypeVersion="20" ma:contentTypeDescription="Create a new document." ma:contentTypeScope="" ma:versionID="28e16f411a05f45d81c785814bc9e0f3">
  <xsd:schema xmlns:xsd="http://www.w3.org/2001/XMLSchema" xmlns:xs="http://www.w3.org/2001/XMLSchema" xmlns:p="http://schemas.microsoft.com/office/2006/metadata/properties" xmlns:ns2="d49c4a8b-676c-4bce-87e8-3cd21701efe0" xmlns:ns3="1d6de035-965f-4c5c-b706-90b30598c892" targetNamespace="http://schemas.microsoft.com/office/2006/metadata/properties" ma:root="true" ma:fieldsID="72a737bad09a3b93f1ffca6259c2a838" ns2:_="" ns3:_="">
    <xsd:import namespace="d49c4a8b-676c-4bce-87e8-3cd21701efe0"/>
    <xsd:import namespace="1d6de035-965f-4c5c-b706-90b30598c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c4a8b-676c-4bce-87e8-3cd21701e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1276bf-0ae5-4bdd-9ac1-c5f221591d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de035-965f-4c5c-b706-90b30598c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cdd48-ec8a-40d6-8809-41066a3af25e}" ma:internalName="TaxCatchAll" ma:showField="CatchAllData" ma:web="1d6de035-965f-4c5c-b706-90b30598c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c4a8b-676c-4bce-87e8-3cd21701efe0">
      <Terms xmlns="http://schemas.microsoft.com/office/infopath/2007/PartnerControls"/>
    </lcf76f155ced4ddcb4097134ff3c332f>
    <TaxCatchAll xmlns="1d6de035-965f-4c5c-b706-90b30598c892" xsi:nil="true"/>
    <_Flow_SignoffStatus xmlns="d49c4a8b-676c-4bce-87e8-3cd21701efe0" xsi:nil="true"/>
  </documentManagement>
</p:properties>
</file>

<file path=customXml/itemProps1.xml><?xml version="1.0" encoding="utf-8"?>
<ds:datastoreItem xmlns:ds="http://schemas.openxmlformats.org/officeDocument/2006/customXml" ds:itemID="{95FACE60-BF9E-46E2-BA21-FA1D0F415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8FF5D-75CC-40E0-A282-1711F9F67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c4a8b-676c-4bce-87e8-3cd21701efe0"/>
    <ds:schemaRef ds:uri="1d6de035-965f-4c5c-b706-90b30598c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45458-FAE7-4870-8C26-E1AFCEBDE32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1d6de035-965f-4c5c-b706-90b30598c892"/>
    <ds:schemaRef ds:uri="d49c4a8b-676c-4bce-87e8-3cd21701efe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Clay</dc:creator>
  <keywords/>
  <dc:description/>
  <lastModifiedBy>James Clay</lastModifiedBy>
  <revision>3</revision>
  <dcterms:created xsi:type="dcterms:W3CDTF">2025-06-16T14:12:00.0000000Z</dcterms:created>
  <dcterms:modified xsi:type="dcterms:W3CDTF">2025-06-20T12:42:42.9588457Z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0x0101007323DF3BE99CC44DAE1014EFEC6E6CEF</vt:lpwstr>
  </property>
  <property fmtid="{D5CDD505-2E9C-101B-9397-08002B2CF9AE}" pid="3" name="MediaServiceImageTags">
    <vt:lpwstr/>
  </property>
  <property fmtid="{D5CDD505-2E9C-101B-9397-08002B2CF9AE}" pid="4" name="GrammarlyDocumentId">
    <vt:lpwstr>4ec5d17b-c181-4ba8-aa9e-5e9c0481d03f</vt:lpwstr>
  </property>
</Properties>
</file>